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CB" w:rsidRPr="000F0FCB" w:rsidRDefault="000F0FCB" w:rsidP="000F0FCB">
      <w:pPr>
        <w:pBdr>
          <w:bottom w:val="single" w:sz="6" w:space="4" w:color="DDDDDD"/>
        </w:pBdr>
        <w:shd w:val="clear" w:color="auto" w:fill="FFFFFF"/>
        <w:spacing w:before="225" w:after="225" w:line="360" w:lineRule="atLeast"/>
        <w:outlineLvl w:val="1"/>
        <w:rPr>
          <w:rFonts w:ascii="Segoe UI" w:eastAsia="Times New Roman" w:hAnsi="Segoe UI" w:cs="Segoe UI"/>
          <w:color w:val="198BC4"/>
          <w:sz w:val="36"/>
          <w:szCs w:val="36"/>
          <w:lang w:eastAsia="ru-RU"/>
        </w:rPr>
      </w:pPr>
      <w:r w:rsidRPr="000F0FCB">
        <w:rPr>
          <w:rFonts w:ascii="Segoe UI" w:eastAsia="Times New Roman" w:hAnsi="Segoe UI" w:cs="Segoe UI"/>
          <w:color w:val="198BC4"/>
          <w:sz w:val="36"/>
          <w:szCs w:val="36"/>
          <w:lang w:eastAsia="ru-RU"/>
        </w:rPr>
        <w:t>Баллы за итоговое сочинение в ВУЗах 2018 год</w:t>
      </w:r>
    </w:p>
    <w:p w:rsidR="000F0FCB" w:rsidRPr="000F0FCB" w:rsidRDefault="000F0FCB" w:rsidP="000F0FCB">
      <w:pPr>
        <w:pBdr>
          <w:right w:val="single" w:sz="6" w:space="4" w:color="CCCCCC"/>
        </w:pBd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49494"/>
          <w:sz w:val="20"/>
          <w:szCs w:val="20"/>
          <w:lang w:eastAsia="ru-RU"/>
        </w:rPr>
      </w:pPr>
      <w:r w:rsidRPr="000F0FCB">
        <w:rPr>
          <w:rFonts w:ascii="Arial" w:eastAsia="Times New Roman" w:hAnsi="Arial" w:cs="Arial"/>
          <w:color w:val="949494"/>
          <w:sz w:val="20"/>
          <w:szCs w:val="20"/>
          <w:lang w:eastAsia="ru-RU"/>
        </w:rPr>
        <w:t>Категория: </w:t>
      </w:r>
      <w:hyperlink r:id="rId5" w:history="1">
        <w:r w:rsidRPr="000F0FCB">
          <w:rPr>
            <w:rFonts w:ascii="Arial" w:eastAsia="Times New Roman" w:hAnsi="Arial" w:cs="Arial"/>
            <w:color w:val="1570A6"/>
            <w:sz w:val="20"/>
            <w:szCs w:val="20"/>
            <w:u w:val="single"/>
            <w:bdr w:val="none" w:sz="0" w:space="0" w:color="auto" w:frame="1"/>
            <w:lang w:eastAsia="ru-RU"/>
          </w:rPr>
          <w:t>ЕГЭ</w:t>
        </w:r>
      </w:hyperlink>
    </w:p>
    <w:p w:rsidR="000F0FCB" w:rsidRPr="000F0FCB" w:rsidRDefault="000F0FCB" w:rsidP="000F0FCB">
      <w:pPr>
        <w:pBdr>
          <w:right w:val="single" w:sz="6" w:space="4" w:color="CCCCCC"/>
        </w:pBdr>
        <w:shd w:val="clear" w:color="auto" w:fill="FFFFFF"/>
        <w:spacing w:after="180" w:line="240" w:lineRule="auto"/>
        <w:ind w:left="720"/>
        <w:rPr>
          <w:rFonts w:ascii="Arial" w:eastAsia="Times New Roman" w:hAnsi="Arial" w:cs="Arial"/>
          <w:color w:val="949494"/>
          <w:sz w:val="20"/>
          <w:szCs w:val="20"/>
          <w:lang w:eastAsia="ru-RU"/>
        </w:rPr>
      </w:pPr>
      <w:r w:rsidRPr="000F0FCB">
        <w:rPr>
          <w:rFonts w:ascii="Arial" w:eastAsia="Times New Roman" w:hAnsi="Arial" w:cs="Arial"/>
          <w:color w:val="949494"/>
          <w:sz w:val="20"/>
          <w:szCs w:val="20"/>
          <w:lang w:eastAsia="ru-RU"/>
        </w:rPr>
        <w:t> Опубликовано: 18 Октябрь 2017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Учёт итогового сочинения в ведущих вузах страны может повлиять на поступление выпускников 2018 года в значительной мере.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Сколько баллов дадут за сочинение в вузах?</w:t>
      </w:r>
    </w:p>
    <w:p w:rsidR="000F0FCB" w:rsidRPr="000F0FCB" w:rsidRDefault="000F0FCB" w:rsidP="000F0FCB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Вузы могут оценивать самостоятельно декабрьское сочинение </w:t>
      </w:r>
      <w:hyperlink r:id="rId6" w:tgtFrame="_blank" w:history="1">
        <w:r w:rsidRPr="000F0FCB">
          <w:rPr>
            <w:rFonts w:ascii="Arial" w:eastAsia="Times New Roman" w:hAnsi="Arial" w:cs="Arial"/>
            <w:color w:val="1570A6"/>
            <w:sz w:val="24"/>
            <w:szCs w:val="24"/>
            <w:u w:val="single"/>
            <w:bdr w:val="none" w:sz="0" w:space="0" w:color="auto" w:frame="1"/>
            <w:lang w:eastAsia="ru-RU"/>
          </w:rPr>
          <w:t>по критериям, разработанным ФИПИ</w:t>
        </w:r>
      </w:hyperlink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 или </w:t>
      </w:r>
      <w:proofErr w:type="gramStart"/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по</w:t>
      </w:r>
      <w:proofErr w:type="gramEnd"/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уточненным, и даже по своим собственным.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Критерии ФИПИ носят рекомендательный характер.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Образовательная организация высшего образования вправе разработать собственные критерии оценивания итогового сочинения, в том числе на основе </w:t>
      </w:r>
      <w:proofErr w:type="gramStart"/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предложенных</w:t>
      </w:r>
      <w:proofErr w:type="gramEnd"/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. Сочинение оценивается по десяти критериям и с учетом его объема и самостоятельности.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В критериях от ФИПИ приведена такая таблица баллов.</w:t>
      </w:r>
    </w:p>
    <w:p w:rsidR="000F0FCB" w:rsidRPr="000F0FCB" w:rsidRDefault="000F0FCB" w:rsidP="000F0FCB">
      <w:pPr>
        <w:shd w:val="clear" w:color="auto" w:fill="FFFFFF"/>
        <w:spacing w:before="225" w:after="225" w:line="330" w:lineRule="atLeast"/>
        <w:jc w:val="center"/>
        <w:outlineLvl w:val="2"/>
        <w:rPr>
          <w:rFonts w:ascii="Segoe UI" w:eastAsia="Times New Roman" w:hAnsi="Segoe UI" w:cs="Segoe UI"/>
          <w:color w:val="5D5D57"/>
          <w:sz w:val="33"/>
          <w:szCs w:val="33"/>
          <w:lang w:eastAsia="ru-RU"/>
        </w:rPr>
      </w:pPr>
      <w:r w:rsidRPr="000F0FCB">
        <w:rPr>
          <w:rFonts w:ascii="Segoe UI" w:eastAsia="Times New Roman" w:hAnsi="Segoe UI" w:cs="Segoe UI"/>
          <w:color w:val="5D5D57"/>
          <w:sz w:val="33"/>
          <w:szCs w:val="33"/>
          <w:lang w:eastAsia="ru-RU"/>
        </w:rPr>
        <w:t>Рекомендации по переводу баллов в 10-балльную шкалу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456"/>
        <w:gridCol w:w="456"/>
        <w:gridCol w:w="456"/>
        <w:gridCol w:w="574"/>
        <w:gridCol w:w="691"/>
        <w:gridCol w:w="691"/>
        <w:gridCol w:w="691"/>
        <w:gridCol w:w="386"/>
        <w:gridCol w:w="386"/>
        <w:gridCol w:w="386"/>
        <w:gridCol w:w="386"/>
      </w:tblGrid>
      <w:tr w:rsidR="000F0FCB" w:rsidRPr="000F0FCB" w:rsidTr="000F0FC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Отметка по десятибалльной системе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10</w:t>
            </w:r>
          </w:p>
        </w:tc>
      </w:tr>
      <w:tr w:rsidR="000F0FCB" w:rsidRPr="000F0FCB" w:rsidTr="000F0FC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15-17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0FCB" w:rsidRPr="000F0FCB" w:rsidRDefault="000F0FCB" w:rsidP="000F0FC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0F0FCB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20</w:t>
            </w:r>
          </w:p>
        </w:tc>
      </w:tr>
    </w:tbl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К проверке по критериям оценивания допускаются итоговые сочинения, соответствующие установленным требованиям.</w:t>
      </w:r>
    </w:p>
    <w:p w:rsidR="000F0FCB" w:rsidRPr="000F0FCB" w:rsidRDefault="000F0FCB" w:rsidP="000F0FCB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b/>
          <w:bCs/>
          <w:color w:val="353333"/>
          <w:sz w:val="27"/>
          <w:szCs w:val="27"/>
          <w:bdr w:val="none" w:sz="0" w:space="0" w:color="auto" w:frame="1"/>
          <w:lang w:eastAsia="ru-RU"/>
        </w:rPr>
        <w:t>Требование № 1.</w:t>
      </w: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 «Объем итогового сочинения»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Рекомендуемое количество слов – от 350. 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0F0FCB" w:rsidRPr="000F0FCB" w:rsidRDefault="000F0FCB" w:rsidP="000F0FCB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b/>
          <w:bCs/>
          <w:color w:val="353333"/>
          <w:sz w:val="27"/>
          <w:szCs w:val="27"/>
          <w:bdr w:val="none" w:sz="0" w:space="0" w:color="auto" w:frame="1"/>
          <w:lang w:eastAsia="ru-RU"/>
        </w:rPr>
        <w:t>Требование № 2</w:t>
      </w: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. «Самостоятельность написания итогового сочинения»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lastRenderedPageBreak/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 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1. «Соответствие теме»;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2. «Аргументация. Привлечение литературного материала»;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3. «Композиция и логика рассуждения»;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4. «Качество письменной речи»;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5. «Грамотность».</w:t>
      </w:r>
    </w:p>
    <w:p w:rsidR="000F0FCB" w:rsidRPr="000F0FCB" w:rsidRDefault="000F0FCB" w:rsidP="000F0FCB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0F0FCB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Критерии № 1 и № 2 являются основными.</w:t>
      </w:r>
    </w:p>
    <w:p w:rsidR="00FA6441" w:rsidRDefault="00FA6441">
      <w:bookmarkStart w:id="0" w:name="_GoBack"/>
      <w:bookmarkEnd w:id="0"/>
    </w:p>
    <w:sectPr w:rsidR="00F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D6"/>
    <w:rsid w:val="000F0FCB"/>
    <w:rsid w:val="00C358D6"/>
    <w:rsid w:val="00F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pr-ege.ru/ege/154-kriterii-otsenivaniya-sochineniya-pri-postuplenii-v-vuz" TargetMode="External"/><Relationship Id="rId5" Type="http://schemas.openxmlformats.org/officeDocument/2006/relationships/hyperlink" Target="http://vpr-ege.ru/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2017-11-01T18:58:00Z</dcterms:created>
  <dcterms:modified xsi:type="dcterms:W3CDTF">2017-11-01T18:58:00Z</dcterms:modified>
</cp:coreProperties>
</file>